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CellSpacing w:w="0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blCellSpacing w:w="0" w:type="dxa"/>
        </w:trPr>
        <w:tc>
          <w:tcPr>
            <w:tcW w:w="9936" w:type="dxa"/>
            <w:noWrap w:val="0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0"/>
                <w:szCs w:val="10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kern w:val="0"/>
                <w:sz w:val="72"/>
                <w:szCs w:val="72"/>
              </w:rPr>
              <w:t>公司年度经营计划书</w:t>
            </w:r>
          </w:p>
          <w:bookmarkEnd w:id="0"/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0"/>
                <w:szCs w:val="10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   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 </w:t>
            </w:r>
            <w:r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  <w:t>   一、20</w:t>
            </w:r>
            <w:r>
              <w:rPr>
                <w:rFonts w:hint="eastAsia" w:ascii="ˎ̥" w:hAnsi="ˎ̥" w:cs="宋体"/>
                <w:b/>
                <w:bCs/>
                <w:kern w:val="0"/>
                <w:sz w:val="44"/>
                <w:szCs w:val="44"/>
                <w:lang w:val="en-US" w:eastAsia="zh-CN"/>
              </w:rPr>
              <w:t>20</w:t>
            </w:r>
            <w:r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  <w:t>年的经营方针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  在认真审视公司经营的优势和劣势、强项和弱项的基础上，公司发展战略中心对当前行业的竞争形势和趋势作出基本研判，将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年的经营方针确定为：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灵活策略赢市场，扩大规模增实力，加强管理保利润。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  经营方针是公司阶段性经营的指导思想；各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、各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商场专卖店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和各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部门管理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的各项经营、管理活动，包括政策制订、制度设计、日常管理，都必须始终不逾地围绕经营方针展开、贯彻和执行。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  <w:t>二、</w:t>
            </w:r>
            <w:r>
              <w:rPr>
                <w:rFonts w:hint="eastAsia" w:ascii="ˎ̥" w:hAnsi="ˎ̥" w:cs="宋体"/>
                <w:b/>
                <w:bCs/>
                <w:kern w:val="0"/>
                <w:sz w:val="44"/>
                <w:szCs w:val="44"/>
                <w:lang w:val="en-US" w:eastAsia="zh-CN"/>
              </w:rPr>
              <w:t>2020</w:t>
            </w:r>
            <w:r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  <w:t>年的经营目标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（一）核心经营目标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年，公司的核心经营目标是：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 年度销售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实现营业额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亿，冲刺目标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亿，</w:t>
            </w:r>
            <w:r>
              <w:rPr>
                <w:rFonts w:hint="eastAsia"/>
                <w:sz w:val="28"/>
                <w:szCs w:val="28"/>
              </w:rPr>
              <w:t>增长率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%，保底销售收入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亿，年度税后利润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万元，增长率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%，税后利润率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%，资产回年率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%，保底利润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万元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在核心经营目标中，利润是能够反映公司经营质量的唯一指标，也是评价和考核经营团队的“核心之核”。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（二）销售目标细分</w:t>
            </w:r>
          </w:p>
          <w:p>
            <w:pPr>
              <w:adjustRightInd w:val="0"/>
              <w:snapToGrid w:val="0"/>
              <w:spacing w:line="360" w:lineRule="auto"/>
              <w:ind w:firstLine="2660" w:firstLineChars="9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销售目标细分表（计算单位：万元/人民币）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1615"/>
              <w:gridCol w:w="1980"/>
              <w:gridCol w:w="1080"/>
              <w:gridCol w:w="1116"/>
              <w:gridCol w:w="1080"/>
              <w:gridCol w:w="1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分类</w:t>
                  </w: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项目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年度目标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第一季度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第二季度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第三季度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第四季度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10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111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9036" w:type="dxa"/>
                  <w:gridSpan w:val="7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  <w:t>全年完成业绩：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  <w:t>亿元（目标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  <w:t>亿）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  <w:t>月度平均业绩：第一季度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  <w:t>万元，第二季度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  <w:t>万元，第三季度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  <w:t>万元，第四季度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8"/>
                      <w:szCs w:val="28"/>
                    </w:rPr>
                    <w:t>万元</w:t>
                  </w:r>
                </w:p>
              </w:tc>
            </w:tr>
          </w:tbl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上述销售目标的分解，按《20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年度销售目标分解表》执行（附件）。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  <w:t>三、主要经营策略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（一）市场策略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    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 xml:space="preserve"> 要实现销售收入的大幅度增长，扩大市场覆盖面、扩大实质客户群，进而大幅提升订单量，是必然选择。因此，公司将20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年确定为“市场拓展年”，</w:t>
            </w:r>
            <w:r>
              <w:rPr>
                <w:rFonts w:hint="eastAsia"/>
                <w:sz w:val="28"/>
                <w:szCs w:val="28"/>
              </w:rPr>
              <w:t>投入资金开拓市场和专卖店，发展客户争取订单，对此应将采取措施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1．全公司必须以市场为导向，以营销为龙头开展经营和管理活动。公司制订相关政策，鼓励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公司管理人员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参与营销工作。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2．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国内和国外销售部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必须整合各项资源，在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年上半年，采取一切措施，集中精力做好海外客户和国内经销商的开发、签约工作。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3．海外市场的主攻方向是</w:t>
            </w:r>
            <w:r>
              <w:rPr>
                <w:rFonts w:hint="eastAsia"/>
                <w:color w:val="000000"/>
                <w:sz w:val="28"/>
                <w:szCs w:val="28"/>
              </w:rPr>
              <w:t>美国和欧盟、日本则是主要的家具进口国以及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北美洲和俄罗斯市场</w:t>
            </w:r>
            <w:r>
              <w:rPr>
                <w:rFonts w:hint="eastAsia"/>
                <w:color w:val="000000"/>
                <w:sz w:val="28"/>
                <w:szCs w:val="28"/>
              </w:rPr>
              <w:t>进口量占世界总量的57%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，并以“发展中东客户，继续开拓大洋洲及欧洲市场”为目标市场策略。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4．国内市场应以“强势推进、快速占领”的策略，集中力量发展渠道经销商（计划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30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家，力争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50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家），应以“稳步发展、适度调整”的策略发展直营市场。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（二）产品策略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市场策略需要产品策略和价格策略的强力支撑和支持。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 xml:space="preserve">  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年公司的整体产品策略是“亲民路线”，即：在确保品质的基础上，在设计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开发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、选材和价格上，始终围绕客户需求，以客户需求为出发点和归属点，以适销对路为原则，降低单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张座椅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产品利润，提升总体销量，实现利润总量最大化。为此，应采取下列措施：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1．国际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销售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应调整主打产品，从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专业鸿基座椅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产品向现代产品过渡，以做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现代礼堂、影院及公共场所座椅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为主。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2．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国内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市场的产品策略按产品系列推进：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1）针对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现代礼堂、影院及公共场所座椅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产品，应“加强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开发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、推陈出新、完善细节”，为满足二、三级市场，适度扩充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HJ排椅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系列。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2）针对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课桌椅、等候椅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产品，推行“整合资源、全新导入、量力扩展、同步推进”的策略，以行业中等价位推广产品。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3．生产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应根据上述策略和业务实际需求，制订产品的开发、采购和品质保证的相应计划，采取必要的行政措施，确保产品开发结构和生产结构的调整到位。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（三）品牌与招商策略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品牌是产品营销的催化剂和拉动力。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  经过近十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八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年的经营，“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鸿基座椅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”已经成为行业的优势品牌，具有较强的号召力；在市场上和消费群中具有良好的美誉度。因此，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年，公司必须集合品牌资源，区分目标客户群，综合运用网络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、专卖店、直销、展会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等通路，集中力量向海外市场和中国区市场推广“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鸿基座椅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”品牌。为此，相应措施如下：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1．国际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销售部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应以“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鸿基座椅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”为主打品牌，以展会、网络等通路为手段，以海外采购商和经销商为目标大力开展招商活动。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2．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国内销售部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应在中国区市场主推“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鸿基座椅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”品牌，采用以商招商、广告招商、专员招商、展会招商等手段，面向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家具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业、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影院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业、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体育场馆、会堂、礼堂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和意向投资者五类潜在客户展开强力招商活动。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  <w:t>四、实现目标的保障措施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（一）生产资源保障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1．公司新增投资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1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00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万元，增加生产设备，扩大生产场地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或（参股、收购、外发）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，确保产品生产年度销售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实现营业额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亿，冲刺目标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2.2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亿元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和各项营销策略的实现。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2．生产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作为二线部门，理应成为国际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销售部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和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国内销售部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的坚强后盾，必须始终围绕客户要求而非生产要求运转，必须按照一线部门的产品策略规划和实际定单需求，组织设计开发、物料采购、产品生产和品质控制等各项生产管理活动。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3．按时交付合格产品，始终是生产管理的不容置疑的核心任务。生产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应订立适宜的品质目标，采取适宜的控制措施，以适宜的品质成本，为经营一线准时提供合格产品。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4．生产成本特别是材料成本的控制，将是考验生产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各级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主管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的关键所在，必须列入各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部门主管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的首要议事日程，必须以非常手段克服和消化各类涨价因素，以降低材料采购成本为突破口，以提升生产速度、提升单位时间产量、采用计件计酬方式为基本点，带动人工成本、能耗成本等在内的各项产品成本的降低，使主营业务的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座椅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材料成本控制在4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5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%以内。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（二）人力资源保障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 “服务、支持、指导”是人力资源管理永恒的宗旨，保障一、二线部门的后勤供给，构建体系、理顺管理，指导核心部门改善人力资源管理，是人力资源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12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年的三大任务。为此，必须从以下四个方面做好人力资源管理工作：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1．加快人才引进：以《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年人力配置标准计划》为基础，加快新增人员中的关键职位的引进和流失人力的补充，确保一、二线用人需求；建立人员淘汰和人才储备机制和计划，在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5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月31日前将应淘汰人员全部淘汰完毕，将储备人才全部引进到位。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2．加强教育训练：建立培训体系，以素质培训为核心，对公司员工和加盟商进行系统的培训，提升员工和合作伙伴的职业和经营素质。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3．建立合理的分配体系：建立起对外具有竞争性、对内具有公平性、对员工具有激励性的、包括员工薪资、福利、红利在内的分配体系；并在施行中不断地加以检讨和完善。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4．建立合理的绩效管理体系：按照“有计划、分步骤、可量化、可持续”的原则，由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常务副总经理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牵头，以目标管理为基础，建立起工作绩效管理体系，按照分级管理、分层考核的原则，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2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日起，总经理对公司经营团队实施考核；至迟于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年4月1日起，各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对中层干部（部门）和基层干部（作业组）施行考核；绩效管理必须与分配体系联动推行，以确保目标管理切实落实。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（三）综合管理保障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  市场竞争特别是出口贸易竞争的加剧，必然在技术壁垒上体现，客户必将更加关注体系认证等技术性措施；公司将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年定义成为未来3—5年的经营发展奠定基础的“管理基础年”，高效顺畅的管理是公司核心竞争力的一个核心。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1．由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常务副总经理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主导，集合内外资源，自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年3月1日起，公司推展“建构管理体系，增强公司体质”活动，用6个月时间，建立起包括营销管理、生产管理、技术管理、品质管理、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经济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管理等在内的顺畅的、高效的管理体系。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管理体系的建构，必须以“理顺脉络、提升效率”为目标，注重先进性与实战性、阶段性与前瞻性的有机结合，为必要时的体系认证打好基础。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2．按照分权管理的原则，由经营团队成员负责，大力推进管理团队建设、骨干队伍建设、经营目标落实检讨等工作。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（四）财务资源保障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年，公司将为一线部门提供优势财务资源，在广告、人力、费用、收益分配等各项投入上向一线倾斜。与此同时，财务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必须从下列四个方面加大监测和监控力度：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1．逐步下放费用审批：在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2019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年已经下放部分权限的基础上，财务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按“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编制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责任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人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”的思路，将各类费用的初审权下放给各业务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部门副总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经理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），以便形成权责对等机制；财务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在费用流向的合理性等方面加强监测。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2．主导成本降低活动：在设定成本降低目标的基础上，财务人员必须更多地“走出去”，直接参与市场调研，或组织各类专项活动，协助、指导相关部门降低成本。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3．整合多个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专卖店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资源：由财务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主导，对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乐从专卖店、博览专卖店、郑州专卖店、苏州专卖店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等资源的工商、银行、税务、海关资源进行整合，为一线部门提供便捷的财务交流和结算通道。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4．健全财务监测体系：财务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必须积极参与“建构管理体系，增强管理体质”活动，理顺、健全财务监测体系，重点关注物流活动背后的财务信息流。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（五）组织管理保障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1．由董事长（总经理）负责，与经营团队签定《目标经营责任书》，明确各责任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的目标、责任和相应的权利。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2．由各责任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部门副总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经理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）负责，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2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月1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5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日前，对各项目标进行层层分解，并与各级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主管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签定《目标管理责任书》，逐级明确目标、责任、奖惩等。各级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主管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的《目标管理责任书》统一汇集于人力资源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，实施归口管理。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3．由财务经理负责，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年2月1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5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日前，出台《财务预算和成本责任控制办法》，明确各类责任人的成本控制项目、目标、责任和奖惩事项，并每月组织检讨和通报等工作。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4．由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常务副总经理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负责，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年2月1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5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日前，以董事长（总经理）为授权方，与各责任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部门副总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（经理）签定《安全生产责任书》，明确年度安全生产特别是工伤预防的目标和责任等，确保年度重大事故控制为零。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5．由营销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副总经理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负责，组织每月/季 “经营目标达成检讨会”，总结成果，检讨差距，研拟对策，跟进结果。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ˎ̥" w:hAnsi="ˎ̥" w:cs="宋体"/>
                <w:b/>
                <w:bCs/>
                <w:kern w:val="0"/>
                <w:sz w:val="44"/>
                <w:szCs w:val="44"/>
              </w:rPr>
              <w:t>五、总体要求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  公司高层清醒地认识到：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年的经营目标，是在全面权衡和全面分析的基础上制定的，是一个充满机遇和机会的计划，也是一个具有挑战和风险的计划；要将这一理想变为现实，需要全体员工的共同努力。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（一）更新观念，创新管理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 公司认为，要达成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年的经营目标，首先要更新观念，各级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主管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和全体员工必须彻底摈弃“因循守旧、得过且过、小步前进、作坊经营”的思想观念，以宏观的立场，树立“产业洗牌、不进则退”的危机意识和“发展公司，分享成果”的捆绑意识，在生产管理的流水作业、产品开发的结构系列、采购管理的成本降低、订单评审的菜单管理、后勤保障的服务品质、财务监测的深入一线等等各方面，创新经营思维、创新管理模式，为公司经营从作坊工厂向现代企业的彻底转型奠定良好的基础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（二）切实负责，重在行动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 行动，是一切计划得以实现的首要；执行，是一切目标得以达成的关键。没有行动和执行，一切都是空谈。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 公司要求，各级干部和全体员工以“负责任”的态度做好各项工作，特别是经营团队和中层干部，必须以“责任”主管的立场开展各项工作，不得仍有“功在我责在他”的遇事推委的恶习和恶行。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 公司强调：干部和员工的价值在于行动和执行，公司将以行动力和执行力考察所有干部，对于那些纸上谈兵、不尚作为的干部和员工，将列入员工淘汰计划的首选，首先予以淘汰。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b/>
                <w:bCs/>
                <w:kern w:val="0"/>
                <w:sz w:val="28"/>
                <w:szCs w:val="28"/>
              </w:rPr>
              <w:t>（三）业绩优先，奖惩落实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 追求利润最大化，永远是企业经营的灵魂；任何企业的首要社会责任，都是赢得市场，扩大经营，收获利润。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 利润是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公司经营指标的“核心之核”，销售是实现利润的载体性指标。在这一思想指导下，“业绩定酬，指标量化，逐级捆绑，分层考核”是公司的基本政策取向，也就是，经营团队以利润为核心指标与公司实施紧密捆绑，中/基层干部和员工以工作业绩指标与上级主管实施紧密捆绑，采用自上而下逐级考核的办法，充分调动全体员工的工作积极性。同时，对于不能胜任本职的干部（包括团队成员）和员工，采取主动让贤、组织调整、公司劝退、末位淘汰等措施，增强造血功能，提升管理体质。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      总之，公司希望并要求：所有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鸿基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从业人员，必须以全新的观念、全新的面貌、全新的行动，投身“打造高效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鸿基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，实现业绩翻番”的伟大征程中，为公司的跳跃发展作出更大的贡献！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ˎ̥" w:hAnsi="ˎ̥" w:cs="宋体"/>
                <w:kern w:val="0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下列文件是本计划书的相关文件或附件：</w:t>
            </w:r>
          </w:p>
          <w:p>
            <w:pPr>
              <w:numPr>
                <w:ilvl w:val="1"/>
                <w:numId w:val="1"/>
              </w:num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139700</wp:posOffset>
                      </wp:positionV>
                      <wp:extent cx="133350" cy="880110"/>
                      <wp:effectExtent l="0" t="4445" r="19050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80110"/>
                              </a:xfrm>
                              <a:prstGeom prst="rightBrace">
                                <a:avLst>
                                  <a:gd name="adj1" fmla="val 55000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88" type="#_x0000_t88" style="position:absolute;left:0pt;margin-left:195.75pt;margin-top:11pt;height:69.3pt;width:10.5pt;z-index:251659264;mso-width-relative:page;mso-height-relative:page;" filled="f" stroked="t" coordsize="21600,21600" o:gfxdata="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1CE9O2gAAAAoBAAAPAAAAAAAAAAEAIAAAACIAAABk&#10;cnMvZG93bnJldi54bWxQSwECFAAUAAAACACHTuJAq9G3Sz0CAAB6BAAADgAAAAAAAAABACAAAAAp&#10;AQAAZHJzL2Uyb0RvYy54bWxQSwUGAAAAAAYABgBZAQAA2AUAAAAA&#10;" adj="1800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组织结构；</w:t>
            </w:r>
          </w:p>
          <w:p>
            <w:pPr>
              <w:numPr>
                <w:ilvl w:val="1"/>
                <w:numId w:val="1"/>
              </w:num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8890</wp:posOffset>
                      </wp:positionV>
                      <wp:extent cx="1209675" cy="314325"/>
                      <wp:effectExtent l="0" t="0" r="0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人力资源部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117pt;margin-top:0.7pt;height:24.75pt;width:95.25pt;z-index:251660288;mso-width-relative:page;mso-height-relative:page;" filled="f" stroked="f" coordsize="21600,21600" o:gfxdata="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BuZIjWAAAACAEAAA8AAAAAAAAAAQAgAAAAIgAAAGRycy9kb3ducmV2LnhtbFBLAQIUABQAAAAI&#10;AIdO4kCIAs0ytgEAAFwDAAAOAAAAAAAAAAEAIAAAACU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人力资源部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岗位职责；</w:t>
            </w:r>
          </w:p>
          <w:p>
            <w:pPr>
              <w:numPr>
                <w:ilvl w:val="1"/>
                <w:numId w:val="1"/>
              </w:num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ascii="ˎ̥" w:hAnsi="ˎ̥" w:cs="宋体"/>
                <w:kern w:val="0"/>
                <w:sz w:val="28"/>
                <w:szCs w:val="28"/>
              </w:rPr>
              <w:t>人力配置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：</w:t>
            </w:r>
          </w:p>
          <w:p>
            <w:pPr>
              <w:numPr>
                <w:ilvl w:val="1"/>
                <w:numId w:val="1"/>
              </w:num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229870</wp:posOffset>
                      </wp:positionV>
                      <wp:extent cx="228600" cy="2000885"/>
                      <wp:effectExtent l="4445" t="4445" r="10795" b="6350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8600" cy="2000885"/>
                              </a:xfrm>
                              <a:prstGeom prst="rightBrace">
                                <a:avLst>
                                  <a:gd name="adj1" fmla="val 72939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88" type="#_x0000_t88" style="position:absolute;left:0pt;flip:x;margin-left:132.75pt;margin-top:18.1pt;height:157.55pt;width:18pt;z-index:251661312;mso-width-relative:page;mso-height-relative:page;" filled="f" stroked="t" coordsize="21600,21600" o:gfxdata="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Oc0mTWAAAACgEAAA8AAAAAAAAAAQAg&#10;AAAAIgAAAGRycy9kb3ducmV2LnhtbFBLAQIUABQAAAAIAIdO4kCpVnGOSQIAAIUEAAAOAAAAAAAA&#10;AAEAIAAAACUBAABkcnMvZTJvRG9jLnhtbFBLBQYAAAAABgAGAFkBAADgBQAAAAA=&#10;" adj="1799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/>
                <w:sz w:val="28"/>
                <w:szCs w:val="28"/>
              </w:rPr>
              <w:t>年计划：   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2020</w:t>
            </w:r>
            <w:r>
              <w:rPr>
                <w:rFonts w:hint="eastAsia"/>
                <w:sz w:val="28"/>
                <w:szCs w:val="28"/>
              </w:rPr>
              <w:t>年财务预算计划：财务部</w:t>
            </w:r>
          </w:p>
          <w:p>
            <w:pPr>
              <w:spacing w:line="360" w:lineRule="auto"/>
              <w:ind w:left="420" w:leftChars="200" w:firstLine="2940" w:firstLineChars="10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年度人工成本预算计划</w:t>
            </w:r>
            <w:r>
              <w:rPr>
                <w:rFonts w:hint="eastAsia"/>
                <w:sz w:val="28"/>
                <w:szCs w:val="28"/>
              </w:rPr>
              <w:t>：财务部</w:t>
            </w:r>
          </w:p>
          <w:p>
            <w:pPr>
              <w:spacing w:line="360" w:lineRule="auto"/>
              <w:ind w:left="420" w:leftChars="200" w:firstLine="2940" w:firstLineChars="10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年度税后利润分配计划</w:t>
            </w:r>
            <w:r>
              <w:rPr>
                <w:rFonts w:hint="eastAsia"/>
                <w:sz w:val="28"/>
                <w:szCs w:val="28"/>
              </w:rPr>
              <w:t>：人力资源部</w:t>
            </w:r>
          </w:p>
          <w:p>
            <w:pPr>
              <w:spacing w:line="360" w:lineRule="auto"/>
              <w:ind w:firstLine="3360" w:firstLineChars="1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2020</w:t>
            </w:r>
            <w:r>
              <w:rPr>
                <w:rFonts w:hint="eastAsia"/>
                <w:sz w:val="28"/>
                <w:szCs w:val="28"/>
              </w:rPr>
              <w:t>年目标经营责任书（经营团队）：营销中心</w:t>
            </w:r>
          </w:p>
          <w:p>
            <w:pPr>
              <w:spacing w:line="360" w:lineRule="auto"/>
              <w:ind w:firstLine="3360" w:firstLineChars="1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ˎ̥" w:hAnsi="ˎ̥" w:cs="宋体"/>
                <w:kern w:val="0"/>
                <w:sz w:val="28"/>
                <w:szCs w:val="28"/>
              </w:rPr>
              <w:t>年度销售目标分解表</w:t>
            </w:r>
            <w:r>
              <w:rPr>
                <w:rFonts w:hint="eastAsia" w:ascii="ˎ̥" w:hAnsi="ˎ̥" w:cs="宋体"/>
                <w:kern w:val="0"/>
                <w:sz w:val="28"/>
                <w:szCs w:val="28"/>
              </w:rPr>
              <w:t>：销售部</w:t>
            </w:r>
          </w:p>
          <w:p>
            <w:pPr>
              <w:spacing w:line="360" w:lineRule="auto"/>
              <w:ind w:firstLine="1540" w:firstLineChars="5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2020</w:t>
            </w:r>
            <w:r>
              <w:rPr>
                <w:rFonts w:hint="eastAsia"/>
                <w:sz w:val="28"/>
                <w:szCs w:val="28"/>
              </w:rPr>
              <w:t>年度绩效考核管理办法：销售部、人力资源部</w:t>
            </w:r>
          </w:p>
          <w:p>
            <w:pPr>
              <w:spacing w:line="360" w:lineRule="auto"/>
              <w:ind w:left="4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/>
                <w:sz w:val="28"/>
                <w:szCs w:val="28"/>
              </w:rPr>
              <w:t>年行动计划一览表（初稿）：企业策划部（附件）</w:t>
            </w:r>
          </w:p>
          <w:p>
            <w:pPr>
              <w:spacing w:line="360" w:lineRule="auto"/>
              <w:ind w:left="42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left="42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left="420" w:leftChars="200" w:firstLine="2520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E4D15"/>
    <w:multiLevelType w:val="multilevel"/>
    <w:tmpl w:val="0F4E4D15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9712F"/>
    <w:rsid w:val="000E2EB7"/>
    <w:rsid w:val="00123FF9"/>
    <w:rsid w:val="001B642A"/>
    <w:rsid w:val="00200487"/>
    <w:rsid w:val="002219F1"/>
    <w:rsid w:val="00292DC5"/>
    <w:rsid w:val="00483485"/>
    <w:rsid w:val="004B0ECA"/>
    <w:rsid w:val="004C0181"/>
    <w:rsid w:val="005B3A71"/>
    <w:rsid w:val="00616D3F"/>
    <w:rsid w:val="00654E8A"/>
    <w:rsid w:val="006E2CD0"/>
    <w:rsid w:val="007A78EA"/>
    <w:rsid w:val="007C7AA9"/>
    <w:rsid w:val="00815648"/>
    <w:rsid w:val="00846E94"/>
    <w:rsid w:val="0088116D"/>
    <w:rsid w:val="00935DD9"/>
    <w:rsid w:val="00961AB0"/>
    <w:rsid w:val="009C2CBA"/>
    <w:rsid w:val="00CD1B5A"/>
    <w:rsid w:val="00CD29A6"/>
    <w:rsid w:val="00CF7305"/>
    <w:rsid w:val="00D03392"/>
    <w:rsid w:val="00D2277D"/>
    <w:rsid w:val="00D563C4"/>
    <w:rsid w:val="00D914C2"/>
    <w:rsid w:val="00DA51AE"/>
    <w:rsid w:val="00DE2896"/>
    <w:rsid w:val="00DE3475"/>
    <w:rsid w:val="00E664E5"/>
    <w:rsid w:val="00E8450F"/>
    <w:rsid w:val="00ED1E4A"/>
    <w:rsid w:val="00EE32BC"/>
    <w:rsid w:val="00EF0D6E"/>
    <w:rsid w:val="00EF3E25"/>
    <w:rsid w:val="28C72095"/>
    <w:rsid w:val="566F5DF3"/>
    <w:rsid w:val="6C597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5e5c7ae0412f0d1ec350a31c436f71bc\&#20844;&#21496;&#24180;&#24230;&#32463;&#33829;&#35745;&#21010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公司年度经营计划书.doc</Template>
  <Pages>11</Pages>
  <Words>4739</Words>
  <Characters>4931</Characters>
  <Lines>37</Lines>
  <Paragraphs>10</Paragraphs>
  <TotalTime>14</TotalTime>
  <ScaleCrop>false</ScaleCrop>
  <LinksUpToDate>false</LinksUpToDate>
  <CharactersWithSpaces>5125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2023-07-17T02:22:00Z</dcterms:created>
  <dc:creator>冰漠水</dc:creator>
  <cp:lastModifiedBy>冰漠水</cp:lastModifiedBy>
  <dcterms:modified xsi:type="dcterms:W3CDTF">2023-07-17T02:23:56Z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v1.0_mb_1t4drYSCCdUeAntHbXZZXA==</vt:lpwstr>
  </property>
  <property fmtid="{D5CDD505-2E9C-101B-9397-08002B2CF9AE}" pid="4" name="ICV">
    <vt:lpwstr>88457EB512954CBA937709E58B23D218_11</vt:lpwstr>
  </property>
</Properties>
</file>